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CD75B">
      <w:pPr>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附件</w:t>
      </w:r>
      <w:r>
        <w:rPr>
          <w:rFonts w:hint="eastAsia" w:ascii="仿宋" w:hAnsi="仿宋" w:eastAsia="仿宋" w:cs="仿宋"/>
          <w:b w:val="0"/>
          <w:bCs/>
          <w:sz w:val="32"/>
          <w:szCs w:val="32"/>
          <w:lang w:val="en-US" w:eastAsia="zh-CN"/>
        </w:rPr>
        <w:t>2：部门三公经费公开</w:t>
      </w:r>
    </w:p>
    <w:p w14:paraId="44C7EB11">
      <w:pPr>
        <w:jc w:val="both"/>
        <w:rPr>
          <w:rFonts w:hint="default" w:ascii="仿宋" w:hAnsi="仿宋" w:eastAsia="仿宋" w:cs="仿宋"/>
          <w:b w:val="0"/>
          <w:bCs/>
          <w:sz w:val="32"/>
          <w:szCs w:val="32"/>
          <w:lang w:val="en-US" w:eastAsia="zh-CN"/>
        </w:rPr>
      </w:pPr>
    </w:p>
    <w:p w14:paraId="732149DD">
      <w:pPr>
        <w:jc w:val="center"/>
        <w:rPr>
          <w:rFonts w:hint="eastAsia" w:ascii="宋体" w:hAnsi="宋体"/>
          <w:b/>
          <w:sz w:val="36"/>
          <w:szCs w:val="36"/>
        </w:rPr>
      </w:pPr>
      <w:bookmarkStart w:id="0" w:name="_GoBack"/>
      <w:r>
        <w:rPr>
          <w:rFonts w:hint="eastAsia" w:ascii="宋体" w:hAnsi="宋体"/>
          <w:b/>
          <w:sz w:val="36"/>
          <w:szCs w:val="36"/>
          <w:lang w:val="en-US" w:eastAsia="zh-CN"/>
        </w:rPr>
        <w:t>黄山市</w:t>
      </w:r>
      <w:r>
        <w:rPr>
          <w:rFonts w:hint="eastAsia" w:ascii="宋体" w:hAnsi="宋体" w:cs="Times New Roman"/>
          <w:b/>
          <w:sz w:val="36"/>
          <w:szCs w:val="36"/>
          <w:lang w:val="en-US" w:eastAsia="zh-CN"/>
        </w:rPr>
        <w:t>社会科学界联合会</w:t>
      </w:r>
      <w:r>
        <w:rPr>
          <w:rFonts w:hint="eastAsia" w:ascii="宋体" w:hAnsi="宋体"/>
          <w:b/>
          <w:sz w:val="36"/>
          <w:szCs w:val="36"/>
          <w:lang w:eastAsia="zh-CN"/>
        </w:rPr>
        <w:t>202</w:t>
      </w:r>
      <w:r>
        <w:rPr>
          <w:rFonts w:hint="eastAsia" w:ascii="宋体" w:hAnsi="宋体"/>
          <w:b/>
          <w:sz w:val="36"/>
          <w:szCs w:val="36"/>
          <w:lang w:val="en-US" w:eastAsia="zh-CN"/>
        </w:rPr>
        <w:t>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bookmarkEnd w:id="0"/>
    </w:p>
    <w:p w14:paraId="0D0ACC89">
      <w:pPr>
        <w:jc w:val="center"/>
        <w:rPr>
          <w:rFonts w:hint="eastAsia" w:ascii="楷体_GB2312" w:eastAsia="楷体_GB2312"/>
          <w:szCs w:val="32"/>
        </w:rPr>
      </w:pPr>
    </w:p>
    <w:p w14:paraId="57961B42">
      <w:pPr>
        <w:adjustRightInd w:val="0"/>
        <w:snapToGrid w:val="0"/>
        <w:spacing w:line="360" w:lineRule="auto"/>
        <w:jc w:val="center"/>
        <w:rPr>
          <w:rFonts w:hint="eastAsia" w:ascii="宋体" w:hAnsi="宋体"/>
          <w:sz w:val="6"/>
          <w:szCs w:val="32"/>
        </w:rPr>
      </w:pPr>
    </w:p>
    <w:p w14:paraId="350A07DC">
      <w:pPr>
        <w:ind w:firstLine="627"/>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tbl>
      <w:tblPr>
        <w:tblStyle w:val="2"/>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51098188">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14:paraId="384AB024">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92" w:type="dxa"/>
            <w:tcBorders>
              <w:top w:val="nil"/>
              <w:left w:val="nil"/>
              <w:bottom w:val="nil"/>
              <w:right w:val="nil"/>
            </w:tcBorders>
            <w:shd w:val="clear" w:color="auto" w:fill="FFFFFF"/>
            <w:noWrap w:val="0"/>
            <w:tcMar>
              <w:top w:w="12" w:type="dxa"/>
              <w:left w:w="12" w:type="dxa"/>
              <w:right w:w="12" w:type="dxa"/>
            </w:tcMar>
            <w:vAlign w:val="center"/>
          </w:tcPr>
          <w:p w14:paraId="2D93FCA7">
            <w:pPr>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FFFFFF"/>
            <w:noWrap w:val="0"/>
            <w:tcMar>
              <w:top w:w="12" w:type="dxa"/>
              <w:left w:w="12" w:type="dxa"/>
              <w:right w:w="12" w:type="dxa"/>
            </w:tcMar>
            <w:vAlign w:val="center"/>
          </w:tcPr>
          <w:p w14:paraId="2F93B967">
            <w:pPr>
              <w:rPr>
                <w:rFonts w:hint="eastAsia" w:ascii="宋体" w:hAnsi="宋体" w:eastAsia="宋体" w:cs="宋体"/>
                <w:i w:val="0"/>
                <w:color w:val="000000"/>
                <w:sz w:val="20"/>
                <w:szCs w:val="20"/>
                <w:u w:val="none"/>
              </w:rPr>
            </w:pPr>
          </w:p>
        </w:tc>
        <w:tc>
          <w:tcPr>
            <w:tcW w:w="744" w:type="dxa"/>
            <w:tcBorders>
              <w:top w:val="nil"/>
              <w:left w:val="nil"/>
              <w:bottom w:val="nil"/>
              <w:right w:val="nil"/>
            </w:tcBorders>
            <w:shd w:val="clear" w:color="auto" w:fill="FFFFFF"/>
            <w:noWrap w:val="0"/>
            <w:tcMar>
              <w:top w:w="12" w:type="dxa"/>
              <w:left w:w="12" w:type="dxa"/>
              <w:right w:w="12" w:type="dxa"/>
            </w:tcMar>
            <w:vAlign w:val="center"/>
          </w:tcPr>
          <w:p w14:paraId="1020B65B">
            <w:pP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auto" w:fill="FFFFFF"/>
            <w:noWrap w:val="0"/>
            <w:tcMar>
              <w:top w:w="12" w:type="dxa"/>
              <w:left w:w="12" w:type="dxa"/>
              <w:right w:w="12" w:type="dxa"/>
            </w:tcMar>
            <w:vAlign w:val="center"/>
          </w:tcPr>
          <w:p w14:paraId="7E6AF8BF">
            <w:pPr>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noWrap w:val="0"/>
            <w:tcMar>
              <w:top w:w="12" w:type="dxa"/>
              <w:left w:w="12" w:type="dxa"/>
              <w:right w:w="12" w:type="dxa"/>
            </w:tcMar>
            <w:vAlign w:val="center"/>
          </w:tcPr>
          <w:p w14:paraId="746388D8">
            <w:pPr>
              <w:rPr>
                <w:rFonts w:hint="eastAsia" w:ascii="宋体" w:hAnsi="宋体" w:eastAsia="宋体" w:cs="宋体"/>
                <w:i w:val="0"/>
                <w:color w:val="000000"/>
                <w:sz w:val="20"/>
                <w:szCs w:val="20"/>
                <w:u w:val="none"/>
              </w:rPr>
            </w:pPr>
          </w:p>
        </w:tc>
        <w:tc>
          <w:tcPr>
            <w:tcW w:w="600" w:type="dxa"/>
            <w:tcBorders>
              <w:top w:val="nil"/>
              <w:left w:val="nil"/>
              <w:bottom w:val="nil"/>
              <w:right w:val="nil"/>
            </w:tcBorders>
            <w:shd w:val="clear" w:color="auto" w:fill="FFFFFF"/>
            <w:noWrap w:val="0"/>
            <w:tcMar>
              <w:top w:w="12" w:type="dxa"/>
              <w:left w:w="12" w:type="dxa"/>
              <w:right w:w="12" w:type="dxa"/>
            </w:tcMar>
            <w:vAlign w:val="center"/>
          </w:tcPr>
          <w:p w14:paraId="5F16FA53">
            <w:pPr>
              <w:rPr>
                <w:rFonts w:hint="eastAsia" w:ascii="宋体" w:hAnsi="宋体" w:eastAsia="宋体" w:cs="宋体"/>
                <w:i w:val="0"/>
                <w:color w:val="000000"/>
                <w:sz w:val="20"/>
                <w:szCs w:val="20"/>
                <w:u w:val="none"/>
              </w:rPr>
            </w:pPr>
          </w:p>
        </w:tc>
        <w:tc>
          <w:tcPr>
            <w:tcW w:w="816" w:type="dxa"/>
            <w:tcBorders>
              <w:top w:val="nil"/>
              <w:left w:val="nil"/>
              <w:bottom w:val="nil"/>
              <w:right w:val="nil"/>
            </w:tcBorders>
            <w:shd w:val="clear" w:color="auto" w:fill="FFFFFF"/>
            <w:noWrap w:val="0"/>
            <w:tcMar>
              <w:top w:w="12" w:type="dxa"/>
              <w:left w:w="12" w:type="dxa"/>
              <w:right w:w="12" w:type="dxa"/>
            </w:tcMar>
            <w:vAlign w:val="center"/>
          </w:tcPr>
          <w:p w14:paraId="19D5AC88">
            <w:pPr>
              <w:rPr>
                <w:rFonts w:hint="eastAsia" w:ascii="宋体" w:hAnsi="宋体" w:eastAsia="宋体" w:cs="宋体"/>
                <w:i w:val="0"/>
                <w:color w:val="000000"/>
                <w:sz w:val="20"/>
                <w:szCs w:val="20"/>
                <w:u w:val="none"/>
              </w:rPr>
            </w:pPr>
          </w:p>
        </w:tc>
        <w:tc>
          <w:tcPr>
            <w:tcW w:w="696" w:type="dxa"/>
            <w:tcBorders>
              <w:top w:val="nil"/>
              <w:left w:val="nil"/>
              <w:bottom w:val="nil"/>
              <w:right w:val="nil"/>
            </w:tcBorders>
            <w:shd w:val="clear" w:color="auto" w:fill="FFFFFF"/>
            <w:noWrap w:val="0"/>
            <w:tcMar>
              <w:top w:w="12" w:type="dxa"/>
              <w:left w:w="12" w:type="dxa"/>
              <w:right w:w="12" w:type="dxa"/>
            </w:tcMar>
            <w:vAlign w:val="center"/>
          </w:tcPr>
          <w:p w14:paraId="2066D726">
            <w:pPr>
              <w:rPr>
                <w:rFonts w:hint="eastAsia" w:ascii="宋体" w:hAnsi="宋体" w:eastAsia="宋体" w:cs="宋体"/>
                <w:i w:val="0"/>
                <w:color w:val="000000"/>
                <w:sz w:val="20"/>
                <w:szCs w:val="20"/>
                <w:u w:val="none"/>
              </w:rPr>
            </w:pPr>
          </w:p>
        </w:tc>
        <w:tc>
          <w:tcPr>
            <w:tcW w:w="840" w:type="dxa"/>
            <w:tcBorders>
              <w:top w:val="nil"/>
              <w:left w:val="nil"/>
              <w:bottom w:val="nil"/>
              <w:right w:val="nil"/>
            </w:tcBorders>
            <w:shd w:val="clear" w:color="auto" w:fill="FFFFFF"/>
            <w:noWrap w:val="0"/>
            <w:tcMar>
              <w:top w:w="12" w:type="dxa"/>
              <w:left w:w="12" w:type="dxa"/>
              <w:right w:w="12" w:type="dxa"/>
            </w:tcMar>
            <w:vAlign w:val="center"/>
          </w:tcPr>
          <w:p w14:paraId="165C9921">
            <w:pPr>
              <w:rPr>
                <w:rFonts w:hint="eastAsia" w:ascii="宋体" w:hAnsi="宋体" w:eastAsia="宋体" w:cs="宋体"/>
                <w:i w:val="0"/>
                <w:color w:val="000000"/>
                <w:sz w:val="20"/>
                <w:szCs w:val="20"/>
                <w:u w:val="none"/>
              </w:rPr>
            </w:pPr>
          </w:p>
        </w:tc>
        <w:tc>
          <w:tcPr>
            <w:tcW w:w="1548" w:type="dxa"/>
            <w:gridSpan w:val="2"/>
            <w:tcBorders>
              <w:top w:val="nil"/>
              <w:left w:val="nil"/>
              <w:bottom w:val="nil"/>
              <w:right w:val="nil"/>
            </w:tcBorders>
            <w:shd w:val="clear" w:color="auto" w:fill="FFFFFF"/>
            <w:noWrap w:val="0"/>
            <w:tcMar>
              <w:top w:w="12" w:type="dxa"/>
              <w:left w:w="12" w:type="dxa"/>
              <w:right w:w="12" w:type="dxa"/>
            </w:tcMar>
            <w:vAlign w:val="center"/>
          </w:tcPr>
          <w:p w14:paraId="2CAE485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Arial"/>
                <w:color w:val="000000"/>
                <w:kern w:val="0"/>
                <w:sz w:val="22"/>
                <w:szCs w:val="22"/>
              </w:rPr>
              <w:t>金额单位</w:t>
            </w:r>
            <w:r>
              <w:rPr>
                <w:rFonts w:hint="eastAsia" w:ascii="宋体" w:hAnsi="宋体" w:eastAsia="宋体" w:cs="宋体"/>
                <w:i w:val="0"/>
                <w:color w:val="000000"/>
                <w:kern w:val="0"/>
                <w:sz w:val="20"/>
                <w:szCs w:val="20"/>
                <w:u w:val="none"/>
                <w:lang w:val="en-US" w:eastAsia="zh-CN" w:bidi="ar"/>
              </w:rPr>
              <w:t>：万元</w:t>
            </w:r>
          </w:p>
        </w:tc>
      </w:tr>
      <w:tr w14:paraId="7094436F">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E792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F76B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632DB304">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37C4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3CEE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16E8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F363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E3AC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2C42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8EB2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1C95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14:paraId="301B8A29">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2C8C05">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73E5F9">
            <w:pPr>
              <w:jc w:val="cente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F361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55D9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215A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9685E0">
            <w:pPr>
              <w:jc w:val="center"/>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9F14DB">
            <w:pPr>
              <w:jc w:val="center"/>
              <w:rPr>
                <w:rFonts w:hint="eastAsia" w:ascii="宋体" w:hAnsi="宋体" w:eastAsia="宋体" w:cs="宋体"/>
                <w:i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95BEBF">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BD99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E133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4951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BA9A76">
            <w:pPr>
              <w:jc w:val="center"/>
              <w:rPr>
                <w:rFonts w:hint="eastAsia" w:ascii="宋体" w:hAnsi="宋体" w:eastAsia="宋体" w:cs="宋体"/>
                <w:i w:val="0"/>
                <w:color w:val="000000"/>
                <w:sz w:val="18"/>
                <w:szCs w:val="18"/>
                <w:u w:val="none"/>
              </w:rPr>
            </w:pPr>
          </w:p>
        </w:tc>
      </w:tr>
      <w:tr w14:paraId="629E3FB5">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21AC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9E54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8184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2C52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787B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21C0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D5B8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8E9C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64C7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0EF6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9F25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59E8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66D8D2EB">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6E3EB5">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0.38</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0A5FC7">
            <w:pPr>
              <w:rPr>
                <w:rFonts w:hint="eastAsia" w:ascii="宋体" w:hAnsi="宋体" w:eastAsia="宋体" w:cs="宋体"/>
                <w:i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191E0B">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CF1B64">
            <w:pP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EB265B">
            <w:pPr>
              <w:rPr>
                <w:rFonts w:hint="eastAsia" w:ascii="宋体" w:hAnsi="宋体" w:eastAsia="宋体" w:cs="宋体"/>
                <w:i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6290C8">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0.38</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B67E87">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0.38</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C13AA3">
            <w:pPr>
              <w:rPr>
                <w:rFonts w:hint="eastAsia" w:ascii="宋体" w:hAnsi="宋体" w:eastAsia="宋体" w:cs="宋体"/>
                <w:i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90C650">
            <w:pP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C990ED">
            <w:pPr>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9BFCB2">
            <w:pPr>
              <w:rPr>
                <w:rFonts w:hint="eastAsia" w:ascii="宋体" w:hAnsi="宋体" w:eastAsia="宋体" w:cs="宋体"/>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7639C6">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0.38</w:t>
            </w:r>
          </w:p>
        </w:tc>
      </w:tr>
    </w:tbl>
    <w:p w14:paraId="58DCD2E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14:paraId="13A3EFAA">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05B89EA1">
      <w:pPr>
        <w:ind w:firstLine="643"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53DCAF03">
      <w:pPr>
        <w:ind w:firstLine="640" w:firstLineChars="200"/>
        <w:rPr>
          <w:rFonts w:hint="eastAsia" w:ascii="仿宋_GB2312" w:hAnsi="仿宋"/>
          <w:szCs w:val="32"/>
        </w:rPr>
      </w:pPr>
      <w:r>
        <w:rPr>
          <w:rFonts w:hint="eastAsia" w:ascii="仿宋_GB2312" w:hAnsi="仿宋"/>
          <w:szCs w:val="32"/>
          <w:lang w:val="en-US" w:eastAsia="zh-CN"/>
        </w:rPr>
        <w:t>黄山市</w:t>
      </w:r>
      <w:r>
        <w:rPr>
          <w:rFonts w:hint="eastAsia" w:ascii="仿宋_GB2312" w:hAnsi="仿宋" w:cs="Times New Roman"/>
          <w:szCs w:val="32"/>
          <w:lang w:val="en-US" w:eastAsia="zh-CN"/>
        </w:rPr>
        <w:t>社会科学界联合会</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年度一般公共预算财政拨款“三公”经费支出预算为</w:t>
      </w:r>
      <w:r>
        <w:rPr>
          <w:rFonts w:hint="eastAsia" w:ascii="仿宋_GB2312" w:hAnsi="仿宋"/>
          <w:szCs w:val="32"/>
          <w:lang w:val="en-US" w:eastAsia="zh-CN"/>
        </w:rPr>
        <w:t>0.38</w:t>
      </w:r>
      <w:r>
        <w:rPr>
          <w:rFonts w:hint="eastAsia" w:ascii="仿宋_GB2312" w:hAnsi="仿宋"/>
          <w:szCs w:val="32"/>
        </w:rPr>
        <w:t>万元，支出决算</w:t>
      </w:r>
      <w:r>
        <w:rPr>
          <w:rFonts w:hint="eastAsia" w:ascii="仿宋_GB2312" w:hAnsi="仿宋"/>
          <w:szCs w:val="32"/>
          <w:lang w:eastAsia="zh-CN"/>
        </w:rPr>
        <w:t>为</w:t>
      </w:r>
      <w:r>
        <w:rPr>
          <w:rFonts w:hint="eastAsia" w:ascii="仿宋_GB2312" w:hAnsi="仿宋"/>
          <w:szCs w:val="32"/>
          <w:lang w:val="en-US" w:eastAsia="zh-CN"/>
        </w:rPr>
        <w:t>0.38</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；较上年减少</w:t>
      </w:r>
      <w:r>
        <w:rPr>
          <w:rFonts w:hint="eastAsia" w:ascii="仿宋_GB2312" w:hAnsi="仿宋"/>
          <w:szCs w:val="32"/>
          <w:lang w:val="en-US" w:eastAsia="zh-CN"/>
        </w:rPr>
        <w:t>0.14</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26.9%。</w:t>
      </w:r>
      <w:r>
        <w:rPr>
          <w:rFonts w:hint="eastAsia" w:ascii="仿宋_GB2312" w:hAnsi="仿宋"/>
          <w:szCs w:val="32"/>
        </w:rPr>
        <w:t>决算数</w:t>
      </w:r>
      <w:r>
        <w:rPr>
          <w:rFonts w:hint="eastAsia" w:ascii="仿宋_GB2312" w:hAnsi="仿宋"/>
          <w:szCs w:val="32"/>
          <w:lang w:eastAsia="zh-CN"/>
        </w:rPr>
        <w:t>较上年减少</w:t>
      </w:r>
      <w:r>
        <w:rPr>
          <w:rFonts w:hint="eastAsia" w:ascii="仿宋_GB2312" w:hAnsi="仿宋"/>
          <w:szCs w:val="32"/>
        </w:rPr>
        <w:t>的主要原因是</w:t>
      </w:r>
      <w:r>
        <w:rPr>
          <w:rFonts w:hint="eastAsia" w:ascii="仿宋_GB2312" w:hAnsi="仿宋" w:cs="Times New Roman"/>
          <w:szCs w:val="32"/>
        </w:rPr>
        <w:t>精简开支</w:t>
      </w:r>
      <w:r>
        <w:rPr>
          <w:rFonts w:hint="eastAsia" w:ascii="仿宋_GB2312" w:hAnsi="仿宋"/>
          <w:szCs w:val="32"/>
        </w:rPr>
        <w:t>。</w:t>
      </w:r>
    </w:p>
    <w:p w14:paraId="6B866735">
      <w:pPr>
        <w:ind w:firstLine="643"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7DBED43F">
      <w:pPr>
        <w:ind w:firstLine="640" w:firstLineChars="200"/>
        <w:rPr>
          <w:rFonts w:hint="eastAsia" w:ascii="仿宋_GB2312" w:hAnsi="仿宋"/>
          <w:szCs w:val="32"/>
        </w:rPr>
      </w:pPr>
      <w:r>
        <w:rPr>
          <w:rFonts w:hint="eastAsia" w:ascii="仿宋_GB2312" w:hAnsi="仿宋"/>
          <w:szCs w:val="32"/>
          <w:lang w:val="en-US" w:eastAsia="zh-CN"/>
        </w:rPr>
        <w:t>黄山市</w:t>
      </w:r>
      <w:r>
        <w:rPr>
          <w:rFonts w:hint="eastAsia" w:ascii="仿宋_GB2312" w:hAnsi="仿宋" w:cs="Times New Roman"/>
          <w:szCs w:val="32"/>
          <w:lang w:val="en-US" w:eastAsia="zh-CN"/>
        </w:rPr>
        <w:t>社会科学界联合会</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0.38</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14:paraId="14351A0C">
      <w:pPr>
        <w:ind w:firstLine="628"/>
        <w:rPr>
          <w:rFonts w:hint="eastAsia" w:ascii="仿宋_GB2312" w:hAnsi="仿宋" w:cs="Times New Roman"/>
          <w:szCs w:val="32"/>
          <w:lang w:eastAsia="zh-CN"/>
        </w:rPr>
      </w:pPr>
      <w:r>
        <w:rPr>
          <w:rFonts w:hint="eastAsia" w:ascii="仿宋_GB2312" w:hAnsi="仿宋"/>
          <w:b/>
          <w:bCs/>
          <w:szCs w:val="32"/>
        </w:rPr>
        <w:t>1.因公出国（境）费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w:t>
      </w:r>
      <w:r>
        <w:rPr>
          <w:rFonts w:hint="eastAsia" w:ascii="仿宋_GB2312" w:hAnsi="仿宋" w:cs="Times New Roman"/>
          <w:szCs w:val="32"/>
          <w:lang w:eastAsia="zh-CN"/>
        </w:rPr>
        <w:t>成预算的</w:t>
      </w:r>
      <w:r>
        <w:rPr>
          <w:rFonts w:hint="eastAsia" w:ascii="仿宋_GB2312" w:hAnsi="仿宋" w:cs="Times New Roman"/>
          <w:szCs w:val="32"/>
          <w:lang w:val="en-US" w:eastAsia="zh-CN"/>
        </w:rPr>
        <w:t>100</w:t>
      </w:r>
      <w:r>
        <w:rPr>
          <w:rFonts w:hint="eastAsia" w:ascii="仿宋_GB2312" w:hAnsi="仿宋" w:cs="Times New Roman"/>
          <w:szCs w:val="32"/>
          <w:lang w:eastAsia="zh-CN"/>
        </w:rPr>
        <w:t>%，决算数与预算数相同；较上年减少</w:t>
      </w:r>
      <w:r>
        <w:rPr>
          <w:rFonts w:hint="eastAsia" w:ascii="仿宋_GB2312" w:hAnsi="仿宋" w:cs="Times New Roman"/>
          <w:szCs w:val="32"/>
          <w:lang w:val="en-US" w:eastAsia="zh-CN"/>
        </w:rPr>
        <w:t>0</w:t>
      </w:r>
      <w:r>
        <w:rPr>
          <w:rFonts w:hint="eastAsia" w:ascii="仿宋_GB2312" w:hAnsi="仿宋" w:cs="Times New Roman"/>
          <w:szCs w:val="32"/>
          <w:lang w:eastAsia="zh-CN"/>
        </w:rPr>
        <w:t>万元，下降</w:t>
      </w:r>
      <w:r>
        <w:rPr>
          <w:rFonts w:hint="eastAsia" w:ascii="仿宋_GB2312" w:hAnsi="仿宋" w:cs="Times New Roman"/>
          <w:szCs w:val="32"/>
          <w:lang w:val="en-US" w:eastAsia="zh-CN"/>
        </w:rPr>
        <w:t>0%。</w:t>
      </w:r>
      <w:r>
        <w:rPr>
          <w:rFonts w:hint="eastAsia" w:ascii="仿宋_GB2312" w:hAnsi="仿宋" w:cs="Times New Roman"/>
          <w:szCs w:val="32"/>
          <w:lang w:eastAsia="zh-CN"/>
        </w:rPr>
        <w:t>原因是</w:t>
      </w:r>
      <w:r>
        <w:rPr>
          <w:rFonts w:hint="eastAsia" w:ascii="仿宋_GB2312" w:hAnsi="仿宋" w:cs="Times New Roman"/>
          <w:szCs w:val="32"/>
          <w:lang w:val="en-US" w:eastAsia="zh-CN"/>
        </w:rPr>
        <w:t>2023年度、</w:t>
      </w:r>
      <w:r>
        <w:rPr>
          <w:rFonts w:hint="eastAsia" w:ascii="仿宋_GB2312" w:hAnsi="仿宋" w:cs="Times New Roman"/>
          <w:szCs w:val="32"/>
          <w:lang w:eastAsia="zh-CN"/>
        </w:rPr>
        <w:t>202</w:t>
      </w:r>
      <w:r>
        <w:rPr>
          <w:rFonts w:hint="eastAsia" w:ascii="仿宋_GB2312" w:hAnsi="仿宋" w:cs="Times New Roman"/>
          <w:szCs w:val="32"/>
          <w:lang w:val="en-US" w:eastAsia="zh-CN"/>
        </w:rPr>
        <w:t>4</w:t>
      </w:r>
      <w:r>
        <w:rPr>
          <w:rFonts w:hint="eastAsia" w:ascii="仿宋_GB2312" w:hAnsi="仿宋" w:cs="Times New Roman"/>
          <w:szCs w:val="32"/>
          <w:lang w:eastAsia="zh-CN"/>
        </w:rPr>
        <w:t>年度均未安排因公出国（境）计划。故202</w:t>
      </w:r>
      <w:r>
        <w:rPr>
          <w:rFonts w:hint="eastAsia" w:ascii="仿宋_GB2312" w:hAnsi="仿宋" w:cs="Times New Roman"/>
          <w:szCs w:val="32"/>
          <w:lang w:val="en-US" w:eastAsia="zh-CN"/>
        </w:rPr>
        <w:t>4</w:t>
      </w:r>
      <w:r>
        <w:rPr>
          <w:rFonts w:hint="eastAsia" w:ascii="仿宋_GB2312" w:hAnsi="仿宋" w:cs="Times New Roman"/>
          <w:szCs w:val="32"/>
          <w:lang w:eastAsia="zh-CN"/>
        </w:rPr>
        <w:t>年安徽省</w:t>
      </w:r>
      <w:r>
        <w:rPr>
          <w:rFonts w:hint="eastAsia" w:ascii="仿宋_GB2312" w:hAnsi="仿宋" w:cs="Times New Roman"/>
          <w:szCs w:val="32"/>
          <w:lang w:val="en-US" w:eastAsia="zh-CN"/>
        </w:rPr>
        <w:t>黄山市社会科学界联合会</w:t>
      </w:r>
      <w:r>
        <w:rPr>
          <w:rFonts w:hint="eastAsia" w:ascii="仿宋_GB2312" w:hAnsi="仿宋" w:cs="Times New Roman"/>
          <w:szCs w:val="32"/>
          <w:lang w:eastAsia="zh-CN"/>
        </w:rPr>
        <w:t>因公出国（境）团组0次，出国（境）0人次”。</w:t>
      </w:r>
    </w:p>
    <w:p w14:paraId="328A54FA">
      <w:pPr>
        <w:ind w:firstLine="643"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szCs w:val="32"/>
          <w:lang w:eastAsia="zh-CN"/>
        </w:rPr>
        <w:t>预算为</w:t>
      </w:r>
      <w:r>
        <w:rPr>
          <w:rFonts w:hint="eastAsia" w:ascii="仿宋_GB2312" w:hAnsi="仿宋"/>
          <w:szCs w:val="32"/>
          <w:lang w:val="en-US" w:eastAsia="zh-CN"/>
        </w:rPr>
        <w:t>0.38</w:t>
      </w:r>
      <w:r>
        <w:rPr>
          <w:rFonts w:hint="eastAsia" w:ascii="仿宋_GB2312" w:hAnsi="仿宋"/>
          <w:szCs w:val="32"/>
          <w:lang w:eastAsia="zh-CN"/>
        </w:rPr>
        <w:t>万元，支出决算为</w:t>
      </w:r>
      <w:r>
        <w:rPr>
          <w:rFonts w:hint="eastAsia" w:ascii="仿宋_GB2312" w:hAnsi="仿宋"/>
          <w:szCs w:val="32"/>
          <w:lang w:val="en-US" w:eastAsia="zh-CN"/>
        </w:rPr>
        <w:t>0.38万元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%；较上年减少</w:t>
      </w:r>
      <w:r>
        <w:rPr>
          <w:rFonts w:hint="eastAsia" w:ascii="仿宋_GB2312" w:hAnsi="仿宋"/>
          <w:szCs w:val="32"/>
          <w:lang w:val="en-US" w:eastAsia="zh-CN"/>
        </w:rPr>
        <w:t>0.14</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26.9%。</w:t>
      </w:r>
      <w:r>
        <w:rPr>
          <w:rFonts w:hint="eastAsia" w:ascii="仿宋_GB2312" w:hAnsi="仿宋" w:cs="Times New Roman"/>
          <w:szCs w:val="32"/>
          <w:lang w:eastAsia="zh-CN"/>
        </w:rPr>
        <w:t>决算数与预算数相同；</w:t>
      </w:r>
      <w:r>
        <w:rPr>
          <w:rFonts w:hint="eastAsia" w:ascii="仿宋_GB2312" w:hAnsi="仿宋"/>
          <w:szCs w:val="32"/>
        </w:rPr>
        <w:t>决算数</w:t>
      </w:r>
      <w:r>
        <w:rPr>
          <w:rFonts w:hint="eastAsia" w:ascii="仿宋_GB2312" w:hAnsi="仿宋"/>
          <w:szCs w:val="32"/>
          <w:lang w:eastAsia="zh-CN"/>
        </w:rPr>
        <w:t>较上年减少</w:t>
      </w:r>
      <w:r>
        <w:rPr>
          <w:rFonts w:hint="eastAsia" w:ascii="仿宋_GB2312" w:hAnsi="仿宋"/>
          <w:szCs w:val="32"/>
        </w:rPr>
        <w:t>的主要原因是</w:t>
      </w:r>
      <w:r>
        <w:rPr>
          <w:rFonts w:hint="eastAsia" w:ascii="仿宋_GB2312" w:hAnsi="仿宋" w:cs="Times New Roman"/>
          <w:szCs w:val="32"/>
        </w:rPr>
        <w:t>精简开支</w:t>
      </w:r>
      <w:r>
        <w:rPr>
          <w:rFonts w:hint="eastAsia" w:ascii="仿宋_GB2312" w:hAnsi="仿宋"/>
          <w:szCs w:val="32"/>
        </w:rPr>
        <w:t>。</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cs="Times New Roman"/>
          <w:szCs w:val="32"/>
        </w:rPr>
        <w:t>精简开支</w:t>
      </w:r>
      <w:r>
        <w:rPr>
          <w:rFonts w:hint="eastAsia" w:ascii="仿宋_GB2312" w:hAnsi="仿宋"/>
          <w:szCs w:val="32"/>
        </w:rPr>
        <w:t>国内公务接待共</w:t>
      </w:r>
      <w:r>
        <w:rPr>
          <w:rFonts w:hint="eastAsia" w:ascii="仿宋_GB2312" w:hAnsi="仿宋"/>
          <w:szCs w:val="32"/>
          <w:lang w:val="en-US" w:eastAsia="zh-CN"/>
        </w:rPr>
        <w:t>4</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35</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w:t>
      </w:r>
      <w:r>
        <w:rPr>
          <w:rFonts w:hint="eastAsia" w:ascii="仿宋_GB2312" w:hAnsi="仿宋"/>
          <w:color w:val="auto"/>
          <w:szCs w:val="32"/>
        </w:rPr>
        <w:t>主要是用于</w:t>
      </w:r>
      <w:r>
        <w:rPr>
          <w:rFonts w:hint="eastAsia" w:ascii="仿宋_GB2312" w:hAnsi="仿宋" w:cs="仿宋_GB2312"/>
          <w:kern w:val="2"/>
          <w:sz w:val="32"/>
          <w:szCs w:val="32"/>
          <w:lang w:val="en-US" w:eastAsia="zh-CN" w:bidi="ar"/>
        </w:rPr>
        <w:t>安大徽学研究中心</w:t>
      </w:r>
      <w:r>
        <w:rPr>
          <w:rFonts w:hint="eastAsia" w:ascii="仿宋_GB2312" w:hAnsi="仿宋" w:eastAsia="仿宋_GB2312" w:cs="仿宋_GB2312"/>
          <w:kern w:val="2"/>
          <w:sz w:val="32"/>
          <w:szCs w:val="32"/>
          <w:lang w:val="en-US" w:eastAsia="zh-CN" w:bidi="ar"/>
        </w:rPr>
        <w:t>、其他地市社科联来我会调研、学习等工作事项</w:t>
      </w:r>
      <w:r>
        <w:rPr>
          <w:rFonts w:hint="eastAsia" w:ascii="仿宋_GB2312" w:hAnsi="仿宋"/>
          <w:szCs w:val="32"/>
        </w:rPr>
        <w:t>。</w:t>
      </w:r>
      <w:r>
        <w:rPr>
          <w:rFonts w:hint="eastAsia" w:ascii="仿宋_GB2312" w:hAnsi="仿宋"/>
          <w:color w:val="auto"/>
          <w:szCs w:val="32"/>
        </w:rPr>
        <w:t>经费使用贯彻中央八项规定</w:t>
      </w:r>
      <w:r>
        <w:rPr>
          <w:rFonts w:hint="eastAsia" w:ascii="仿宋_GB2312" w:hAnsi="仿宋"/>
          <w:color w:val="auto"/>
          <w:szCs w:val="32"/>
          <w:lang w:eastAsia="zh-CN"/>
        </w:rPr>
        <w:t>精神</w:t>
      </w:r>
      <w:r>
        <w:rPr>
          <w:rFonts w:hint="eastAsia" w:ascii="仿宋_GB2312" w:hAnsi="仿宋"/>
          <w:color w:val="auto"/>
          <w:szCs w:val="32"/>
        </w:rPr>
        <w:t>，严格执行《党政机关厉行节约反对浪费条例》</w:t>
      </w:r>
      <w:r>
        <w:rPr>
          <w:rFonts w:hint="eastAsia" w:ascii="仿宋_GB2312" w:hAnsi="仿宋"/>
          <w:szCs w:val="32"/>
        </w:rPr>
        <w:t>《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r>
        <w:rPr>
          <w:rFonts w:hint="eastAsia" w:ascii="仿宋_GB2312" w:hAnsi="仿宋"/>
          <w:color w:val="auto"/>
          <w:szCs w:val="32"/>
          <w:lang w:eastAsia="zh-CN"/>
        </w:rPr>
        <w:t>等</w:t>
      </w:r>
      <w:r>
        <w:rPr>
          <w:rFonts w:hint="eastAsia" w:ascii="仿宋_GB2312" w:hAnsi="仿宋"/>
          <w:color w:val="auto"/>
          <w:szCs w:val="32"/>
        </w:rPr>
        <w:t>相关规定。</w:t>
      </w:r>
    </w:p>
    <w:p w14:paraId="69397B76">
      <w:pPr>
        <w:ind w:firstLine="643" w:firstLineChars="200"/>
        <w:rPr>
          <w:rFonts w:hint="eastAsia"/>
        </w:rPr>
      </w:pPr>
      <w:r>
        <w:rPr>
          <w:rFonts w:hint="eastAsia" w:ascii="仿宋_GB2312" w:hAnsi="仿宋"/>
          <w:b/>
          <w:bCs/>
          <w:szCs w:val="32"/>
        </w:rPr>
        <w:t>3.公务用车购置及运行维护费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w:t>
      </w:r>
      <w:r>
        <w:rPr>
          <w:rFonts w:hint="eastAsia" w:ascii="仿宋_GB2312" w:hAnsi="仿宋" w:cs="Times New Roman"/>
          <w:szCs w:val="32"/>
          <w:lang w:eastAsia="zh-CN"/>
        </w:rPr>
        <w:t>决算数与预算数相同；较上年减少</w:t>
      </w:r>
      <w:r>
        <w:rPr>
          <w:rFonts w:hint="eastAsia" w:ascii="仿宋_GB2312" w:hAnsi="仿宋" w:cs="Times New Roman"/>
          <w:szCs w:val="32"/>
          <w:lang w:val="en-US" w:eastAsia="zh-CN"/>
        </w:rPr>
        <w:t>0</w:t>
      </w:r>
      <w:r>
        <w:rPr>
          <w:rFonts w:hint="eastAsia" w:ascii="仿宋_GB2312" w:hAnsi="仿宋" w:cs="Times New Roman"/>
          <w:szCs w:val="32"/>
          <w:lang w:eastAsia="zh-CN"/>
        </w:rPr>
        <w:t>万元，下降</w:t>
      </w:r>
      <w:r>
        <w:rPr>
          <w:rFonts w:hint="eastAsia" w:ascii="仿宋_GB2312" w:hAnsi="仿宋" w:cs="Times New Roman"/>
          <w:szCs w:val="32"/>
          <w:lang w:val="en-US" w:eastAsia="zh-CN"/>
        </w:rPr>
        <w:t>0%。</w:t>
      </w:r>
      <w:r>
        <w:rPr>
          <w:rFonts w:hint="eastAsia" w:ascii="仿宋_GB2312" w:hAnsi="仿宋"/>
          <w:color w:val="auto"/>
          <w:szCs w:val="32"/>
          <w:lang w:val="en-US" w:eastAsia="zh-CN"/>
        </w:rPr>
        <w:t>2024年没有安排公务用车购置费。</w:t>
      </w:r>
      <w:r>
        <w:rPr>
          <w:rFonts w:hint="eastAsia" w:ascii="仿宋_GB2312" w:hAnsi="仿宋"/>
          <w:szCs w:val="32"/>
        </w:rPr>
        <w:t>公务用车运行维护费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%；较上年减少</w:t>
      </w:r>
      <w:r>
        <w:rPr>
          <w:rFonts w:hint="eastAsia" w:ascii="仿宋_GB2312" w:hAnsi="仿宋"/>
          <w:szCs w:val="32"/>
          <w:lang w:val="en-US" w:eastAsia="zh-CN"/>
        </w:rPr>
        <w:t>0</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0%。</w:t>
      </w:r>
      <w:r>
        <w:rPr>
          <w:rFonts w:hint="eastAsia" w:ascii="仿宋_GB2312" w:hAnsi="仿宋"/>
          <w:szCs w:val="32"/>
        </w:rPr>
        <w:t>截至</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年12月31日，</w:t>
      </w:r>
      <w:r>
        <w:rPr>
          <w:rFonts w:hint="eastAsia" w:ascii="仿宋_GB2312" w:hAnsi="仿宋" w:cs="Times New Roman"/>
          <w:szCs w:val="32"/>
          <w:lang w:val="en-US" w:eastAsia="zh-CN"/>
        </w:rPr>
        <w:t>黄山市社会科学界联合会</w:t>
      </w:r>
      <w:r>
        <w:rPr>
          <w:rFonts w:hint="eastAsia" w:ascii="仿宋_GB2312" w:hAnsi="仿宋"/>
          <w:szCs w:val="32"/>
        </w:rPr>
        <w:t>机关开支财政拨款的公务用车保有量为</w:t>
      </w:r>
      <w:r>
        <w:rPr>
          <w:rFonts w:hint="eastAsia" w:ascii="仿宋_GB2312" w:hAnsi="仿宋"/>
          <w:szCs w:val="32"/>
          <w:lang w:val="en-US" w:eastAsia="zh-CN"/>
        </w:rPr>
        <w:t>0</w:t>
      </w:r>
      <w:r>
        <w:rPr>
          <w:rFonts w:hint="eastAsia" w:ascii="仿宋_GB2312" w:hAnsi="仿宋"/>
          <w:szCs w:val="32"/>
        </w:rPr>
        <w:t>辆。</w:t>
      </w:r>
    </w:p>
    <w:p w14:paraId="12AA97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705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2025-09-18T01:06:15Z</dcterms:created>
  <dc:creator>Administrator</dc:creator>
  <cp:lastModifiedBy>社科联收文员</cp:lastModifiedBy>
  <dcterms:modified xsi:type="dcterms:W3CDTF">2025-09-18T01:06:33Z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eyJoZGlkIjoiNDhmZmM3OGE5NmQxMzkwZmM0ODgxMzIwZmZkNDIwZjkifQ==</vt:lpwstr>
  </property>
  <property fmtid="{D5CDD505-2E9C-101B-9397-08002B2CF9AE}" pid="4" name="ICV">
    <vt:lpwstr>C0DE8468C3D8460A9D7365E3B9316346_12</vt:lpwstr>
  </property>
</Properties>
</file>